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F14744" w:rsidRDefault="00611267" w:rsidP="00F14744">
      <w:pPr>
        <w:spacing w:line="276" w:lineRule="auto"/>
        <w:jc w:val="center"/>
        <w:rPr>
          <w:rFonts w:ascii="Sylfaen" w:hAnsi="Sylfaen"/>
          <w:b/>
          <w:lang w:val="ka-GE"/>
        </w:rPr>
      </w:pPr>
      <w:r w:rsidRPr="00F14744">
        <w:rPr>
          <w:rFonts w:ascii="Sylfaen" w:hAnsi="Sylfaen"/>
          <w:b/>
          <w:lang w:val="ka-GE"/>
        </w:rPr>
        <w:t xml:space="preserve">ინფორმაცია </w:t>
      </w:r>
    </w:p>
    <w:p w:rsidR="00611267" w:rsidRPr="00F14744" w:rsidRDefault="00611267" w:rsidP="00F14744">
      <w:pPr>
        <w:spacing w:line="276" w:lineRule="auto"/>
        <w:jc w:val="center"/>
        <w:rPr>
          <w:rFonts w:ascii="Sylfaen" w:hAnsi="Sylfaen"/>
          <w:b/>
          <w:noProof/>
          <w:lang w:val="ka-GE"/>
        </w:rPr>
      </w:pPr>
      <w:r w:rsidRPr="00F14744">
        <w:rPr>
          <w:rFonts w:ascii="Sylfaen" w:hAnsi="Sylfaen"/>
          <w:b/>
          <w:noProof/>
          <w:lang w:val="ka-GE"/>
        </w:rPr>
        <w:t>,,საქართველოს</w:t>
      </w:r>
      <w:r w:rsidR="003E05A6">
        <w:rPr>
          <w:rFonts w:ascii="Sylfaen" w:hAnsi="Sylfaen"/>
          <w:b/>
          <w:noProof/>
          <w:lang w:val="ka-GE"/>
        </w:rPr>
        <w:t xml:space="preserve"> 2020 </w:t>
      </w:r>
      <w:r w:rsidRPr="00F14744">
        <w:rPr>
          <w:rFonts w:ascii="Sylfaen" w:hAnsi="Sylfaen"/>
          <w:b/>
          <w:noProof/>
          <w:lang w:val="ka-GE"/>
        </w:rPr>
        <w:t>წლის სახელმწიფო ბიუჯეტის შესახებ“ საქართველოს კანონში ცვლილებების შეტანის თაობაზე</w:t>
      </w:r>
      <w:r w:rsidR="00AF7BC4" w:rsidRPr="00F14744">
        <w:rPr>
          <w:rFonts w:ascii="Sylfaen" w:hAnsi="Sylfaen"/>
          <w:b/>
          <w:noProof/>
          <w:lang w:val="ka-GE"/>
        </w:rPr>
        <w:t>“ ს</w:t>
      </w:r>
      <w:r w:rsidR="00AF7BC4" w:rsidRPr="00F14744">
        <w:rPr>
          <w:rFonts w:ascii="Sylfaen" w:hAnsi="Sylfaen"/>
          <w:b/>
          <w:lang w:val="ka-GE"/>
        </w:rPr>
        <w:t>აქართველოს კანონის პროექტზე</w:t>
      </w:r>
      <w:r w:rsidR="00F14744" w:rsidRPr="00F14744">
        <w:rPr>
          <w:rFonts w:ascii="Sylfaen" w:hAnsi="Sylfaen"/>
          <w:b/>
          <w:lang w:val="ka-GE"/>
        </w:rPr>
        <w:t xml:space="preserve"> საქართველოს პარლამენტის </w:t>
      </w:r>
      <w:r w:rsidR="00AB62D0">
        <w:rPr>
          <w:rFonts w:ascii="Sylfaen" w:hAnsi="Sylfaen"/>
          <w:b/>
          <w:lang w:val="ka-GE"/>
        </w:rPr>
        <w:t>საფინანსო-საბიუჯეტო კომიტეტის</w:t>
      </w:r>
      <w:r w:rsidR="00AF7BC4" w:rsidRPr="00F14744">
        <w:rPr>
          <w:rFonts w:ascii="Sylfaen" w:hAnsi="Sylfaen"/>
          <w:b/>
          <w:lang w:val="ka-GE"/>
        </w:rPr>
        <w:t xml:space="preserve"> რეკომენდაციების გათვალისწინების შესაძლებლობის შესახებ</w:t>
      </w:r>
    </w:p>
    <w:tbl>
      <w:tblPr>
        <w:tblStyle w:val="TableGrid"/>
        <w:tblW w:w="5417" w:type="pct"/>
        <w:tblInd w:w="-635" w:type="dxa"/>
        <w:tblLook w:val="04A0" w:firstRow="1" w:lastRow="0" w:firstColumn="1" w:lastColumn="0" w:noHBand="0" w:noVBand="1"/>
      </w:tblPr>
      <w:tblGrid>
        <w:gridCol w:w="435"/>
        <w:gridCol w:w="6855"/>
        <w:gridCol w:w="6740"/>
      </w:tblGrid>
      <w:tr w:rsidR="00336E24" w:rsidRPr="00F14744" w:rsidTr="00B377D7">
        <w:trPr>
          <w:tblHeader/>
        </w:trPr>
        <w:tc>
          <w:tcPr>
            <w:tcW w:w="155"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w:t>
            </w:r>
          </w:p>
        </w:tc>
        <w:tc>
          <w:tcPr>
            <w:tcW w:w="2443"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რეკომენდაცია</w:t>
            </w:r>
          </w:p>
        </w:tc>
        <w:tc>
          <w:tcPr>
            <w:tcW w:w="2402"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რეკომენდაციის გათვალისწინების შესაძლებლობა</w:t>
            </w:r>
          </w:p>
        </w:tc>
      </w:tr>
      <w:tr w:rsidR="00F14744" w:rsidRPr="00F14744" w:rsidTr="00F14744">
        <w:tc>
          <w:tcPr>
            <w:tcW w:w="5000" w:type="pct"/>
            <w:gridSpan w:val="3"/>
            <w:shd w:val="clear" w:color="auto" w:fill="B4C6E7" w:themeFill="accent5" w:themeFillTint="66"/>
          </w:tcPr>
          <w:p w:rsidR="00F14744" w:rsidRPr="00F14744" w:rsidRDefault="00F14744" w:rsidP="00F14744">
            <w:pPr>
              <w:spacing w:line="276" w:lineRule="auto"/>
              <w:jc w:val="center"/>
              <w:rPr>
                <w:rFonts w:ascii="Sylfaen" w:hAnsi="Sylfaen"/>
                <w:b/>
                <w:lang w:val="ka-GE"/>
              </w:rPr>
            </w:pPr>
            <w:r w:rsidRPr="00F14744">
              <w:rPr>
                <w:rFonts w:ascii="Sylfaen" w:hAnsi="Sylfaen"/>
                <w:b/>
                <w:lang w:val="ka-GE"/>
              </w:rPr>
              <w:t>საქართველოს პარლამენტის საფინანსო-საბიუჯეტო კომიტეტი</w:t>
            </w:r>
          </w:p>
        </w:tc>
      </w:tr>
      <w:tr w:rsidR="00F14744" w:rsidRPr="00F14744" w:rsidTr="003E05A6">
        <w:tc>
          <w:tcPr>
            <w:tcW w:w="155" w:type="pct"/>
            <w:vAlign w:val="center"/>
          </w:tcPr>
          <w:p w:rsidR="00F14744" w:rsidRPr="003E05A6" w:rsidRDefault="003E05A6" w:rsidP="003E05A6">
            <w:pPr>
              <w:tabs>
                <w:tab w:val="left" w:pos="0"/>
              </w:tabs>
              <w:spacing w:line="276" w:lineRule="auto"/>
              <w:jc w:val="center"/>
              <w:rPr>
                <w:rFonts w:ascii="Sylfaen" w:hAnsi="Sylfaen" w:cs="Sylfaen"/>
                <w:bCs/>
                <w:noProof/>
              </w:rPr>
            </w:pPr>
            <w:r>
              <w:rPr>
                <w:rFonts w:ascii="Sylfaen" w:hAnsi="Sylfaen" w:cs="Sylfaen"/>
                <w:bCs/>
                <w:noProof/>
              </w:rPr>
              <w:t>1</w:t>
            </w:r>
          </w:p>
        </w:tc>
        <w:tc>
          <w:tcPr>
            <w:tcW w:w="2443" w:type="pct"/>
          </w:tcPr>
          <w:p w:rsidR="00570817" w:rsidRPr="00F14744" w:rsidRDefault="003E05A6" w:rsidP="00F14744">
            <w:pPr>
              <w:tabs>
                <w:tab w:val="left" w:pos="0"/>
              </w:tabs>
              <w:spacing w:line="276" w:lineRule="auto"/>
              <w:jc w:val="both"/>
              <w:rPr>
                <w:rFonts w:ascii="Sylfaen" w:hAnsi="Sylfaen" w:cs="Sylfaen"/>
                <w:bCs/>
                <w:noProof/>
                <w:lang w:val="ka-GE"/>
              </w:rPr>
            </w:pPr>
            <w:r w:rsidRPr="003E05A6">
              <w:rPr>
                <w:rFonts w:ascii="Sylfaen" w:hAnsi="Sylfaen" w:cs="Sylfaen"/>
                <w:bCs/>
                <w:noProof/>
                <w:lang w:val="ka-GE"/>
              </w:rPr>
              <w:t>საქართველოს 2020 წლის სახელმწიფო ბიუჯეტის   ცვლილების კანონპროექტით წარმოდგენილია „ძირითადი ეკონომიკური და ფინანსური ინდიკატორების“ მხოლოდ საბაზისო სცენარი და პაკეტი არ მოიცავს ინფორმაციას ალტერნატიული (ოპტიმისტური და პესიმისტური) სცენარების შესახებ. პანდემიით გამოწვეული ახალი ეკონომიკური რეალობიდან და არაპროგნოზირებადი გარემოდან გამომდინარე, განსაკუთრებით მნიშვნელოვანია, დოკუმენტში წარმოდგენილი იყოს სხვადასხვა ეკონომიკური სცენარი, მოვლენების განვითარების შესაბამისად.</w:t>
            </w:r>
          </w:p>
        </w:tc>
        <w:tc>
          <w:tcPr>
            <w:tcW w:w="2402" w:type="pct"/>
          </w:tcPr>
          <w:p w:rsidR="00363AE5" w:rsidRPr="00644D87" w:rsidRDefault="00644D87" w:rsidP="00363AE5">
            <w:pPr>
              <w:spacing w:line="276" w:lineRule="auto"/>
              <w:jc w:val="both"/>
              <w:rPr>
                <w:rFonts w:ascii="Sylfaen" w:hAnsi="Sylfaen"/>
                <w:lang w:val="ka-GE"/>
              </w:rPr>
            </w:pPr>
            <w:r>
              <w:rPr>
                <w:rFonts w:ascii="Sylfaen" w:hAnsi="Sylfaen"/>
                <w:lang w:val="ka-GE"/>
              </w:rPr>
              <w:t>გათვალისწინებულია</w:t>
            </w:r>
          </w:p>
        </w:tc>
      </w:tr>
      <w:tr w:rsidR="00F14744" w:rsidRPr="00F14744" w:rsidTr="003E05A6">
        <w:tc>
          <w:tcPr>
            <w:tcW w:w="155" w:type="pct"/>
            <w:vAlign w:val="center"/>
          </w:tcPr>
          <w:p w:rsidR="00F14744" w:rsidRPr="003E05A6" w:rsidRDefault="003E05A6" w:rsidP="003E05A6">
            <w:pPr>
              <w:tabs>
                <w:tab w:val="left" w:pos="0"/>
              </w:tabs>
              <w:spacing w:line="276" w:lineRule="auto"/>
              <w:jc w:val="center"/>
              <w:rPr>
                <w:rFonts w:ascii="Sylfaen" w:hAnsi="Sylfaen" w:cs="Sylfaen"/>
                <w:bCs/>
                <w:noProof/>
              </w:rPr>
            </w:pPr>
            <w:r>
              <w:rPr>
                <w:rFonts w:ascii="Sylfaen" w:hAnsi="Sylfaen" w:cs="Sylfaen"/>
                <w:bCs/>
                <w:noProof/>
              </w:rPr>
              <w:t>2</w:t>
            </w:r>
          </w:p>
        </w:tc>
        <w:tc>
          <w:tcPr>
            <w:tcW w:w="2443" w:type="pct"/>
          </w:tcPr>
          <w:p w:rsidR="00F14744" w:rsidRPr="00570817" w:rsidRDefault="003E05A6" w:rsidP="00F14744">
            <w:pPr>
              <w:pStyle w:val="Normal0"/>
              <w:tabs>
                <w:tab w:val="left" w:pos="90"/>
              </w:tabs>
              <w:spacing w:line="276" w:lineRule="auto"/>
              <w:jc w:val="both"/>
              <w:rPr>
                <w:rFonts w:ascii="Sylfaen" w:hAnsi="Sylfaen"/>
                <w:sz w:val="22"/>
                <w:szCs w:val="22"/>
                <w:lang w:val="ka-GE"/>
              </w:rPr>
            </w:pPr>
            <w:r w:rsidRPr="003E05A6">
              <w:rPr>
                <w:rFonts w:ascii="Sylfaen" w:hAnsi="Sylfaen"/>
                <w:sz w:val="22"/>
                <w:szCs w:val="22"/>
                <w:lang w:val="ka-GE"/>
              </w:rPr>
              <w:t>მიზანშეწონილია მაკროეკონომიკური პროგნოზებისა და საქართველოს სამინისტროების ძირითადი  მიმართულებების (2021-2024 წლებისათვის) შესახებ ინფორმაციითა  და 2020 წლის სახელმწიფო ბიუჯეტის ცვლილებით წარმოდგენილი იმ მაკროეკონომიკური პარამეტრების შესაბამისობაში მოყვანა, რომელთა შორის განსხვავებები  ძირითადად განპირობებულია აღნიშნული დოკუმენტების სხვადასხვა დროს წარმოდგენის გამო  ლარის აშშ დოლარის მიმართ გაცვლითი კურსის სხვაობით.</w:t>
            </w:r>
          </w:p>
        </w:tc>
        <w:tc>
          <w:tcPr>
            <w:tcW w:w="2402" w:type="pct"/>
          </w:tcPr>
          <w:p w:rsidR="00F14744" w:rsidRPr="00644D87" w:rsidRDefault="00644D87" w:rsidP="00FA7E90">
            <w:pPr>
              <w:spacing w:line="276" w:lineRule="auto"/>
              <w:jc w:val="both"/>
              <w:rPr>
                <w:rFonts w:ascii="Sylfaen" w:hAnsi="Sylfaen"/>
                <w:lang w:val="ka-GE"/>
              </w:rPr>
            </w:pPr>
            <w:r>
              <w:rPr>
                <w:rFonts w:ascii="Sylfaen" w:hAnsi="Sylfaen"/>
                <w:lang w:val="ka-GE"/>
              </w:rPr>
              <w:t>გათვალისწინებული</w:t>
            </w:r>
            <w:r w:rsidR="00FA7E90">
              <w:rPr>
                <w:rFonts w:ascii="Sylfaen" w:hAnsi="Sylfaen"/>
                <w:lang w:val="ka-GE"/>
              </w:rPr>
              <w:t>ა</w:t>
            </w:r>
            <w:r>
              <w:rPr>
                <w:rFonts w:ascii="Sylfaen" w:hAnsi="Sylfaen"/>
                <w:lang w:val="ka-GE"/>
              </w:rPr>
              <w:t xml:space="preserve"> </w:t>
            </w:r>
          </w:p>
        </w:tc>
      </w:tr>
      <w:tr w:rsidR="00F14744" w:rsidRPr="00F14744" w:rsidTr="003E05A6">
        <w:tc>
          <w:tcPr>
            <w:tcW w:w="155" w:type="pct"/>
            <w:vAlign w:val="center"/>
          </w:tcPr>
          <w:p w:rsidR="00F14744" w:rsidRPr="003E05A6" w:rsidRDefault="003E05A6" w:rsidP="003E05A6">
            <w:pPr>
              <w:tabs>
                <w:tab w:val="left" w:pos="0"/>
              </w:tabs>
              <w:spacing w:line="276" w:lineRule="auto"/>
              <w:jc w:val="center"/>
              <w:rPr>
                <w:rFonts w:ascii="Sylfaen" w:hAnsi="Sylfaen" w:cs="Sylfaen"/>
                <w:bCs/>
                <w:noProof/>
              </w:rPr>
            </w:pPr>
            <w:r>
              <w:rPr>
                <w:rFonts w:ascii="Sylfaen" w:hAnsi="Sylfaen" w:cs="Sylfaen"/>
                <w:bCs/>
                <w:noProof/>
              </w:rPr>
              <w:t>3</w:t>
            </w:r>
          </w:p>
        </w:tc>
        <w:tc>
          <w:tcPr>
            <w:tcW w:w="2443" w:type="pct"/>
          </w:tcPr>
          <w:p w:rsidR="00F14744" w:rsidRPr="00F14744" w:rsidRDefault="003E05A6" w:rsidP="00F14744">
            <w:pPr>
              <w:tabs>
                <w:tab w:val="left" w:pos="0"/>
              </w:tabs>
              <w:spacing w:line="276" w:lineRule="auto"/>
              <w:jc w:val="both"/>
              <w:rPr>
                <w:rFonts w:ascii="Sylfaen" w:hAnsi="Sylfaen" w:cs="Sylfaen"/>
                <w:bCs/>
                <w:noProof/>
                <w:lang w:val="ka-GE"/>
              </w:rPr>
            </w:pPr>
            <w:r w:rsidRPr="003E05A6">
              <w:rPr>
                <w:rFonts w:ascii="Sylfaen" w:hAnsi="Sylfaen" w:cs="Sylfaen"/>
                <w:bCs/>
                <w:noProof/>
                <w:lang w:val="ka-GE"/>
              </w:rPr>
              <w:t>წარმოდგენილი კანონპროექტით ვალის მოცულობისა და  ბიუჯეტის დეფიციტის საგრძნობი ზრდის გამო, მნიშვნელოვანია,  წარმოდგენილი იქნეს განახლებული „მთავრობის ვალის მდგრადობის ანალიზი“ (DSA), რომელიც სხვადასხვა რისკ-ფაქტორის გამოყენებით შეაფასებს მთავრობის შესაძლებლობას მოემსახუროს დაკისრებულ ვალდებულებებს საშუალო და გრძელვადიან პერიოდში.</w:t>
            </w:r>
          </w:p>
        </w:tc>
        <w:tc>
          <w:tcPr>
            <w:tcW w:w="2402" w:type="pct"/>
          </w:tcPr>
          <w:p w:rsidR="00F14744" w:rsidRPr="009D3FF6" w:rsidRDefault="00644D87" w:rsidP="00F14744">
            <w:pPr>
              <w:spacing w:line="276" w:lineRule="auto"/>
              <w:jc w:val="both"/>
              <w:rPr>
                <w:rFonts w:ascii="Sylfaen" w:hAnsi="Sylfaen"/>
                <w:lang w:val="ka-GE"/>
              </w:rPr>
            </w:pPr>
            <w:r>
              <w:rPr>
                <w:rFonts w:ascii="Sylfaen" w:hAnsi="Sylfaen"/>
                <w:lang w:val="ka-GE"/>
              </w:rPr>
              <w:t>გათვალისწინებულია</w:t>
            </w:r>
          </w:p>
        </w:tc>
      </w:tr>
      <w:tr w:rsidR="00F14744" w:rsidRPr="00F14744" w:rsidTr="003E05A6">
        <w:tc>
          <w:tcPr>
            <w:tcW w:w="155" w:type="pct"/>
            <w:vAlign w:val="center"/>
          </w:tcPr>
          <w:p w:rsidR="00F14744" w:rsidRPr="003E05A6" w:rsidRDefault="003E05A6" w:rsidP="003E05A6">
            <w:pPr>
              <w:tabs>
                <w:tab w:val="left" w:pos="0"/>
              </w:tabs>
              <w:spacing w:line="276" w:lineRule="auto"/>
              <w:jc w:val="center"/>
              <w:rPr>
                <w:rFonts w:ascii="Sylfaen" w:hAnsi="Sylfaen" w:cs="Sylfaen"/>
                <w:bCs/>
                <w:noProof/>
              </w:rPr>
            </w:pPr>
            <w:r>
              <w:rPr>
                <w:rFonts w:ascii="Sylfaen" w:hAnsi="Sylfaen" w:cs="Sylfaen"/>
                <w:bCs/>
                <w:noProof/>
              </w:rPr>
              <w:t>4</w:t>
            </w:r>
          </w:p>
        </w:tc>
        <w:tc>
          <w:tcPr>
            <w:tcW w:w="2443" w:type="pct"/>
          </w:tcPr>
          <w:p w:rsidR="00F14744" w:rsidRPr="00F14744" w:rsidRDefault="003E05A6" w:rsidP="00F14744">
            <w:pPr>
              <w:tabs>
                <w:tab w:val="left" w:pos="0"/>
              </w:tabs>
              <w:spacing w:line="276" w:lineRule="auto"/>
              <w:jc w:val="both"/>
              <w:rPr>
                <w:rFonts w:ascii="Sylfaen" w:hAnsi="Sylfaen" w:cs="Sylfaen"/>
                <w:bCs/>
                <w:noProof/>
                <w:lang w:val="ka-GE"/>
              </w:rPr>
            </w:pPr>
            <w:r w:rsidRPr="003E05A6">
              <w:rPr>
                <w:rFonts w:ascii="Sylfaen" w:hAnsi="Sylfaen" w:cs="Sylfaen"/>
                <w:bCs/>
                <w:noProof/>
                <w:lang w:val="ka-GE"/>
              </w:rPr>
              <w:t>წარმოდგენილი ბიუჯეტის  პროექტით  მოსახლეობისათვის  განსაზღვრულია საკმაოდ დიდი მოცულობის მიზნობრივი   სოციალური    დახმარება. სასურველია შესაძლებლობის ფარგლებში დახმარება გაეწიოთ ასევე პანდემიის შედეგებით დაზარალებულ იმ  თვითდასაქმებულებს, ვინც ვერ წარმოადგინა დოკუმენტაცია და აგრეთვე უმუშევრებს.</w:t>
            </w:r>
          </w:p>
        </w:tc>
        <w:tc>
          <w:tcPr>
            <w:tcW w:w="2402" w:type="pct"/>
          </w:tcPr>
          <w:p w:rsidR="00F14744" w:rsidRPr="00644D87" w:rsidRDefault="00644D87" w:rsidP="00FA7E90">
            <w:pPr>
              <w:spacing w:line="276" w:lineRule="auto"/>
              <w:jc w:val="both"/>
              <w:rPr>
                <w:rFonts w:ascii="Sylfaen" w:hAnsi="Sylfaen"/>
                <w:lang w:val="ka-GE"/>
              </w:rPr>
            </w:pPr>
            <w:r>
              <w:rPr>
                <w:rFonts w:ascii="Sylfaen" w:hAnsi="Sylfaen"/>
                <w:lang w:val="ka-GE"/>
              </w:rPr>
              <w:t>წარმოდგენილ პროექტში გათვალისწინებულია სასხრები იმ პირთა მაქს</w:t>
            </w:r>
            <w:r w:rsidR="00FA7E90">
              <w:rPr>
                <w:rFonts w:ascii="Sylfaen" w:hAnsi="Sylfaen"/>
                <w:lang w:val="ka-GE"/>
              </w:rPr>
              <w:t>ი</w:t>
            </w:r>
            <w:r>
              <w:rPr>
                <w:rFonts w:ascii="Sylfaen" w:hAnsi="Sylfaen"/>
                <w:lang w:val="ka-GE"/>
              </w:rPr>
              <w:t>მალურად მოცვის მიზნით, რომლებმაც პანდემიიდან გამომდინ</w:t>
            </w:r>
            <w:r w:rsidR="00FA7E90">
              <w:rPr>
                <w:rFonts w:ascii="Sylfaen" w:hAnsi="Sylfaen"/>
                <w:lang w:val="ka-GE"/>
              </w:rPr>
              <w:t>ა</w:t>
            </w:r>
            <w:r>
              <w:rPr>
                <w:rFonts w:ascii="Sylfaen" w:hAnsi="Sylfaen"/>
                <w:lang w:val="ka-GE"/>
              </w:rPr>
              <w:t xml:space="preserve">რე დაკარგეს სამსახური/შემოსავალი. თვითდასაქმებულების მიერ დახმარების მისაღებად წარმოსადგენი ინფორმაციის ვადა განსაზღვრულია 2020 წლის 1 ივლისამდე. მიღებული მონაცემების გაანალიზებისა და ბიუჯეტით გათვალისწინებული რესურსის, მათ შორის </w:t>
            </w:r>
            <w:r>
              <w:rPr>
                <w:rFonts w:ascii="Sylfaen" w:hAnsi="Sylfaen"/>
              </w:rPr>
              <w:t>StopCoV</w:t>
            </w:r>
            <w:r>
              <w:rPr>
                <w:rFonts w:ascii="Sylfaen" w:hAnsi="Sylfaen"/>
                <w:lang w:val="ka-GE"/>
              </w:rPr>
              <w:t xml:space="preserve"> ფონდის ფარგლებში არსებული სახსრების გათვალისწინებით </w:t>
            </w:r>
            <w:r w:rsidR="00FA7E90">
              <w:rPr>
                <w:rFonts w:ascii="Sylfaen" w:hAnsi="Sylfaen"/>
                <w:lang w:val="ka-GE"/>
              </w:rPr>
              <w:t xml:space="preserve">შესაძლებელი იქნება სხვა </w:t>
            </w:r>
            <w:r>
              <w:rPr>
                <w:rFonts w:ascii="Sylfaen" w:hAnsi="Sylfaen"/>
                <w:lang w:val="ka-GE"/>
              </w:rPr>
              <w:t>ჯგუფებისათვის სოციალური დახმარების გაცემა.</w:t>
            </w:r>
          </w:p>
        </w:tc>
      </w:tr>
      <w:tr w:rsidR="00F14744" w:rsidRPr="00F14744" w:rsidTr="003E05A6">
        <w:tc>
          <w:tcPr>
            <w:tcW w:w="155" w:type="pct"/>
            <w:vAlign w:val="center"/>
          </w:tcPr>
          <w:p w:rsidR="00F14744" w:rsidRPr="003E05A6" w:rsidRDefault="003E05A6" w:rsidP="003E05A6">
            <w:pPr>
              <w:tabs>
                <w:tab w:val="left" w:pos="0"/>
              </w:tabs>
              <w:spacing w:line="276" w:lineRule="auto"/>
              <w:jc w:val="center"/>
              <w:rPr>
                <w:rFonts w:ascii="Sylfaen" w:hAnsi="Sylfaen" w:cs="Sylfaen"/>
                <w:bCs/>
                <w:noProof/>
              </w:rPr>
            </w:pPr>
            <w:r>
              <w:rPr>
                <w:rFonts w:ascii="Sylfaen" w:hAnsi="Sylfaen" w:cs="Sylfaen"/>
                <w:bCs/>
                <w:noProof/>
              </w:rPr>
              <w:t>5</w:t>
            </w:r>
          </w:p>
        </w:tc>
        <w:tc>
          <w:tcPr>
            <w:tcW w:w="2443" w:type="pct"/>
          </w:tcPr>
          <w:p w:rsidR="00F14744" w:rsidRPr="00F14744" w:rsidRDefault="003E05A6" w:rsidP="00F14744">
            <w:pPr>
              <w:tabs>
                <w:tab w:val="left" w:pos="0"/>
              </w:tabs>
              <w:spacing w:line="276" w:lineRule="auto"/>
              <w:jc w:val="both"/>
              <w:rPr>
                <w:rFonts w:ascii="Sylfaen" w:hAnsi="Sylfaen" w:cs="Sylfaen"/>
                <w:bCs/>
                <w:noProof/>
                <w:lang w:val="ka-GE"/>
              </w:rPr>
            </w:pPr>
            <w:r w:rsidRPr="003E05A6">
              <w:rPr>
                <w:rFonts w:ascii="Sylfaen" w:hAnsi="Sylfaen" w:cs="Sylfaen"/>
                <w:bCs/>
                <w:noProof/>
                <w:lang w:val="ka-GE"/>
              </w:rPr>
              <w:t>სასურველია წარმოდგენილი იქნეს ინფორმაცია, თუ რამდენად საკმარისია ფინანსური რესურსი ქვეპროგრამისთვის „რთველის ხელშეწყობის ღონისძიებები“.</w:t>
            </w:r>
          </w:p>
        </w:tc>
        <w:tc>
          <w:tcPr>
            <w:tcW w:w="2402" w:type="pct"/>
          </w:tcPr>
          <w:p w:rsidR="00C53E9E" w:rsidRPr="009C7A57" w:rsidRDefault="00FA7E90" w:rsidP="00C53E9E">
            <w:pPr>
              <w:spacing w:line="276" w:lineRule="auto"/>
              <w:jc w:val="both"/>
              <w:rPr>
                <w:rFonts w:ascii="Sylfaen" w:hAnsi="Sylfaen"/>
              </w:rPr>
            </w:pPr>
            <w:r>
              <w:rPr>
                <w:rFonts w:ascii="Sylfaen" w:hAnsi="Sylfaen"/>
                <w:lang w:val="ka-GE"/>
              </w:rPr>
              <w:t xml:space="preserve">არსებული რესურსიდან გამომდინარე, </w:t>
            </w:r>
            <w:r w:rsidR="00E27B6D">
              <w:rPr>
                <w:rFonts w:ascii="Sylfaen" w:hAnsi="Sylfaen"/>
                <w:lang w:val="ka-GE"/>
              </w:rPr>
              <w:t xml:space="preserve">მაქსიმალურად </w:t>
            </w:r>
            <w:r w:rsidR="009C7A57">
              <w:rPr>
                <w:rFonts w:ascii="Sylfaen" w:hAnsi="Sylfaen"/>
                <w:lang w:val="ka-GE"/>
              </w:rPr>
              <w:t>მოხდა თანხების გათვალისწინება „რთველის ხელშეწყობის ღონისძიებებისთვის“, ამასთან გასათვალისწინებელია რომ ყურძნის გადამუშავების ხელშეწყობის ღონისძიებები ასევე გათვალისწინებულია აგროკრედიტის პროექტის ფარლ</w:t>
            </w:r>
            <w:r>
              <w:rPr>
                <w:rFonts w:ascii="Sylfaen" w:hAnsi="Sylfaen"/>
                <w:lang w:val="ka-GE"/>
              </w:rPr>
              <w:t>ე</w:t>
            </w:r>
            <w:r w:rsidR="009C7A57">
              <w:rPr>
                <w:rFonts w:ascii="Sylfaen" w:hAnsi="Sylfaen"/>
                <w:lang w:val="ka-GE"/>
              </w:rPr>
              <w:t>ბშიც.</w:t>
            </w:r>
          </w:p>
        </w:tc>
      </w:tr>
    </w:tbl>
    <w:p w:rsidR="00611267" w:rsidRPr="00F14744" w:rsidRDefault="00611267" w:rsidP="00F14744">
      <w:pPr>
        <w:spacing w:line="276" w:lineRule="auto"/>
        <w:rPr>
          <w:rFonts w:ascii="Sylfaen" w:hAnsi="Sylfaen"/>
          <w:b/>
          <w:lang w:val="ka-GE"/>
        </w:rPr>
      </w:pPr>
    </w:p>
    <w:sectPr w:rsidR="00611267" w:rsidRPr="00F14744"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75" w:rsidRDefault="00C11975" w:rsidP="00611267">
      <w:pPr>
        <w:spacing w:after="0" w:line="240" w:lineRule="auto"/>
      </w:pPr>
      <w:r>
        <w:separator/>
      </w:r>
    </w:p>
  </w:endnote>
  <w:endnote w:type="continuationSeparator" w:id="0">
    <w:p w:rsidR="00C11975" w:rsidRDefault="00C11975"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FA7E90">
          <w:rPr>
            <w:noProof/>
            <w:sz w:val="20"/>
          </w:rPr>
          <w:t>2</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75" w:rsidRDefault="00C11975" w:rsidP="00611267">
      <w:pPr>
        <w:spacing w:after="0" w:line="240" w:lineRule="auto"/>
      </w:pPr>
      <w:r>
        <w:separator/>
      </w:r>
    </w:p>
  </w:footnote>
  <w:footnote w:type="continuationSeparator" w:id="0">
    <w:p w:rsidR="00C11975" w:rsidRDefault="00C11975"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415AF"/>
    <w:rsid w:val="0009602F"/>
    <w:rsid w:val="00097667"/>
    <w:rsid w:val="000E761E"/>
    <w:rsid w:val="001217BE"/>
    <w:rsid w:val="00136CD2"/>
    <w:rsid w:val="00154A2A"/>
    <w:rsid w:val="002019AE"/>
    <w:rsid w:val="00276189"/>
    <w:rsid w:val="002809C9"/>
    <w:rsid w:val="002877DA"/>
    <w:rsid w:val="00306ECF"/>
    <w:rsid w:val="00336E24"/>
    <w:rsid w:val="00363AE5"/>
    <w:rsid w:val="003E05A6"/>
    <w:rsid w:val="00495113"/>
    <w:rsid w:val="004E533C"/>
    <w:rsid w:val="00570817"/>
    <w:rsid w:val="005D556B"/>
    <w:rsid w:val="00611267"/>
    <w:rsid w:val="006443DE"/>
    <w:rsid w:val="00644D87"/>
    <w:rsid w:val="006E03CA"/>
    <w:rsid w:val="00703AB2"/>
    <w:rsid w:val="00784197"/>
    <w:rsid w:val="008D317F"/>
    <w:rsid w:val="00947DBA"/>
    <w:rsid w:val="00962707"/>
    <w:rsid w:val="009C7A57"/>
    <w:rsid w:val="009D3FF6"/>
    <w:rsid w:val="00A56CA0"/>
    <w:rsid w:val="00AA2172"/>
    <w:rsid w:val="00AB62D0"/>
    <w:rsid w:val="00AF7BC4"/>
    <w:rsid w:val="00B377D7"/>
    <w:rsid w:val="00B81507"/>
    <w:rsid w:val="00C11975"/>
    <w:rsid w:val="00C53E9E"/>
    <w:rsid w:val="00CF6B48"/>
    <w:rsid w:val="00CF7F1F"/>
    <w:rsid w:val="00E27B6D"/>
    <w:rsid w:val="00E769BF"/>
    <w:rsid w:val="00ED0CD9"/>
    <w:rsid w:val="00ED173B"/>
    <w:rsid w:val="00F14744"/>
    <w:rsid w:val="00F9293F"/>
    <w:rsid w:val="00FA24EB"/>
    <w:rsid w:val="00FA7E90"/>
    <w:rsid w:val="00FB6E17"/>
    <w:rsid w:val="00FC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A3B4"/>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7670-AC14-43EE-B2E1-AF9548D8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User</cp:lastModifiedBy>
  <cp:revision>26</cp:revision>
  <cp:lastPrinted>2020-06-19T14:16:00Z</cp:lastPrinted>
  <dcterms:created xsi:type="dcterms:W3CDTF">2019-09-30T10:35:00Z</dcterms:created>
  <dcterms:modified xsi:type="dcterms:W3CDTF">2020-06-18T14:22:00Z</dcterms:modified>
</cp:coreProperties>
</file>